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B8B" w:rsidRDefault="00B61F1D">
      <w:pPr>
        <w:spacing w:before="4"/>
        <w:ind w:left="102"/>
        <w:jc w:val="center"/>
        <w:rPr>
          <w:b/>
          <w:sz w:val="28"/>
          <w:szCs w:val="28"/>
          <w:vertAlign w:val="superscript"/>
        </w:rPr>
      </w:pPr>
      <w:bookmarkStart w:id="0" w:name="_GoBack"/>
      <w:bookmarkEnd w:id="0"/>
      <w:r>
        <w:rPr>
          <w:b/>
          <w:sz w:val="28"/>
          <w:szCs w:val="28"/>
        </w:rPr>
        <w:t>Mapping Courses to Institutional Student Learning Outcomes (ISLOs)</w:t>
      </w:r>
    </w:p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p w:rsidR="00863B8B" w:rsidRDefault="00B61F1D">
      <w:pPr>
        <w:widowControl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C00000"/>
          <w:sz w:val="26"/>
          <w:szCs w:val="26"/>
        </w:rPr>
        <w:t>STEP ONE:</w:t>
      </w:r>
      <w:r>
        <w:rPr>
          <w:rFonts w:ascii="Calibri" w:eastAsia="Calibri" w:hAnsi="Calibri" w:cs="Calibri"/>
          <w:sz w:val="24"/>
          <w:szCs w:val="24"/>
        </w:rPr>
        <w:t xml:space="preserve">  In the left-hand column of the chart below, list courses required for the degree by drawing from the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College Catalog</w:t>
        </w:r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863B8B" w:rsidRDefault="00863B8B">
      <w:pPr>
        <w:widowControl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63B8B" w:rsidRDefault="00B61F1D">
      <w:pPr>
        <w:widowControl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Considering each course holistically, weigh whether there is a clear alignment to any of the ISLOs by marking an “X” on the chart. In the long-term, you should also indicate which of the ISLO descriptors is most relevant to the course (e</w:t>
      </w:r>
      <w:r>
        <w:rPr>
          <w:rFonts w:ascii="Calibri" w:eastAsia="Calibri" w:hAnsi="Calibri" w:cs="Calibri"/>
          <w:sz w:val="24"/>
          <w:szCs w:val="24"/>
        </w:rPr>
        <w:t xml:space="preserve">.g., CE4: Community Engagement: Developing Agency). Keep the following questions in mind when deciding: </w:t>
      </w:r>
    </w:p>
    <w:p w:rsidR="00863B8B" w:rsidRDefault="00863B8B">
      <w:pPr>
        <w:widowControl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63B8B" w:rsidRDefault="00B61F1D">
      <w:pPr>
        <w:widowControl/>
        <w:numPr>
          <w:ilvl w:val="0"/>
          <w:numId w:val="1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Is the ISLO competency addressed multiple times in the course (e.g., through a clear alignment with more than one of the </w:t>
      </w:r>
      <w:proofErr w:type="gramStart"/>
      <w:r>
        <w:rPr>
          <w:rFonts w:ascii="Calibri" w:eastAsia="Calibri" w:hAnsi="Calibri" w:cs="Calibri"/>
          <w:sz w:val="24"/>
          <w:szCs w:val="24"/>
        </w:rPr>
        <w:t>course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SLOs? And/or through m</w:t>
      </w:r>
      <w:r>
        <w:rPr>
          <w:rFonts w:ascii="Calibri" w:eastAsia="Calibri" w:hAnsi="Calibri" w:cs="Calibri"/>
          <w:sz w:val="24"/>
          <w:szCs w:val="24"/>
        </w:rPr>
        <w:t xml:space="preserve">ultiple assignments/activities/references over the semester)?  </w:t>
      </w:r>
    </w:p>
    <w:p w:rsidR="00863B8B" w:rsidRDefault="00B61F1D">
      <w:pPr>
        <w:widowControl/>
        <w:numPr>
          <w:ilvl w:val="0"/>
          <w:numId w:val="1"/>
        </w:numPr>
        <w:spacing w:after="160"/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 students demonstrate this ISLO competency through completion of an assignment, presentation, project, and/or performance?</w:t>
      </w:r>
    </w:p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p w:rsidR="00863B8B" w:rsidRDefault="00B61F1D">
      <w:pPr>
        <w:widowControl/>
        <w:jc w:val="both"/>
        <w:rPr>
          <w:b/>
          <w:sz w:val="28"/>
          <w:szCs w:val="28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color w:val="C00000"/>
          <w:sz w:val="26"/>
          <w:szCs w:val="26"/>
        </w:rPr>
        <w:t>STEP TWO:</w:t>
      </w: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C0000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Based on the conversation today, the departmental SLO</w:t>
      </w:r>
      <w:r>
        <w:rPr>
          <w:rFonts w:ascii="Calibri" w:eastAsia="Calibri" w:hAnsi="Calibri" w:cs="Calibri"/>
          <w:sz w:val="24"/>
          <w:szCs w:val="24"/>
        </w:rPr>
        <w:t xml:space="preserve"> coordinator is advised to review and update the mapping in the Platform following the program’s approval protocols. Which of the ISLO </w:t>
      </w:r>
      <w:proofErr w:type="gramStart"/>
      <w:r>
        <w:rPr>
          <w:rFonts w:ascii="Calibri" w:eastAsia="Calibri" w:hAnsi="Calibri" w:cs="Calibri"/>
          <w:sz w:val="24"/>
          <w:szCs w:val="24"/>
        </w:rPr>
        <w:t>descriptors  (</w:t>
      </w:r>
      <w:proofErr w:type="gramEnd"/>
      <w:r>
        <w:rPr>
          <w:rFonts w:ascii="Calibri" w:eastAsia="Calibri" w:hAnsi="Calibri" w:cs="Calibri"/>
          <w:sz w:val="24"/>
          <w:szCs w:val="24"/>
        </w:rPr>
        <w:t>e.g., CE4: Community Engagement: Developing Agency) and which  course SLOs align to it is needed to complet</w:t>
      </w:r>
      <w:r>
        <w:rPr>
          <w:rFonts w:ascii="Calibri" w:eastAsia="Calibri" w:hAnsi="Calibri" w:cs="Calibri"/>
          <w:sz w:val="24"/>
          <w:szCs w:val="24"/>
        </w:rPr>
        <w:t xml:space="preserve">e this mapping. For more information on the Platform, see p.3-4 on the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course assessment user guide</w:t>
        </w:r>
      </w:hyperlink>
      <w:r>
        <w:rPr>
          <w:rFonts w:ascii="Calibri" w:eastAsia="Calibri" w:hAnsi="Calibri" w:cs="Calibri"/>
          <w:sz w:val="24"/>
          <w:szCs w:val="24"/>
        </w:rPr>
        <w:t xml:space="preserve">.   </w:t>
      </w:r>
    </w:p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sdt>
      <w:sdtPr>
        <w:tag w:val="goog_rdk_0"/>
        <w:id w:val="532848533"/>
        <w:lock w:val="contentLocked"/>
      </w:sdtPr>
      <w:sdtEndPr/>
      <w:sdtContent>
        <w:tbl>
          <w:tblPr>
            <w:tblStyle w:val="a4"/>
            <w:tblW w:w="13770" w:type="dxa"/>
            <w:tblInd w:w="10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295"/>
            <w:gridCol w:w="2295"/>
            <w:gridCol w:w="2100"/>
            <w:gridCol w:w="2490"/>
            <w:gridCol w:w="2295"/>
            <w:gridCol w:w="2295"/>
          </w:tblGrid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color w:val="6D9EEB"/>
                    <w:sz w:val="24"/>
                    <w:szCs w:val="24"/>
                  </w:rPr>
                  <w:t>List courses in the column below.</w:t>
                </w:r>
                <w:r>
                  <w:rPr>
                    <w:b/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Com</w:t>
                </w:r>
                <w:r>
                  <w:rPr>
                    <w:b/>
                    <w:sz w:val="28"/>
                    <w:szCs w:val="28"/>
                  </w:rPr>
                  <w:t>munity Engagement</w:t>
                </w: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Critical and Creative Thinking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Effective Communication</w:t>
                </w: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Information Literacy</w:t>
                </w: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Lifelong Wellness</w:t>
                </w: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Community Engagement</w:t>
                </w: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Critical and Creative Thinking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Effective Communication</w:t>
                </w: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Information Literacy</w:t>
                </w: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Lifelong Wellness</w:t>
                </w: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  <w:tr w:rsidR="00863B8B"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1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863B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63B8B" w:rsidRDefault="00B61F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8"/>
                    <w:szCs w:val="28"/>
                  </w:rPr>
                </w:pPr>
              </w:p>
            </w:tc>
          </w:tr>
        </w:tbl>
      </w:sdtContent>
    </w:sdt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p w:rsidR="00863B8B" w:rsidRDefault="00863B8B">
      <w:pPr>
        <w:spacing w:before="4"/>
        <w:ind w:left="102"/>
        <w:jc w:val="center"/>
        <w:rPr>
          <w:b/>
          <w:sz w:val="28"/>
          <w:szCs w:val="28"/>
        </w:rPr>
      </w:pPr>
    </w:p>
    <w:p w:rsidR="00863B8B" w:rsidRDefault="00B61F1D">
      <w:pPr>
        <w:spacing w:before="4"/>
        <w:ind w:left="102"/>
        <w:jc w:val="center"/>
        <w:rPr>
          <w:b/>
          <w:sz w:val="28"/>
          <w:szCs w:val="28"/>
        </w:rPr>
      </w:pPr>
      <w:hyperlink r:id="rId10">
        <w:r>
          <w:rPr>
            <w:b/>
            <w:color w:val="1155CC"/>
            <w:sz w:val="28"/>
            <w:szCs w:val="28"/>
            <w:u w:val="single"/>
          </w:rPr>
          <w:t>Institutional Student Learning Outcomes (ISLOs)</w:t>
        </w:r>
      </w:hyperlink>
      <w:r>
        <w:rPr>
          <w:b/>
          <w:sz w:val="28"/>
          <w:szCs w:val="28"/>
          <w:vertAlign w:val="superscript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863B8B" w:rsidRDefault="00863B8B">
      <w:pPr>
        <w:spacing w:before="4"/>
        <w:ind w:left="102"/>
        <w:jc w:val="center"/>
        <w:rPr>
          <w:b/>
          <w:sz w:val="16"/>
          <w:szCs w:val="16"/>
        </w:rPr>
      </w:pPr>
    </w:p>
    <w:p w:rsidR="00863B8B" w:rsidRDefault="00B61F1D">
      <w:pPr>
        <w:spacing w:before="93" w:line="276" w:lineRule="auto"/>
        <w:ind w:left="220" w:right="196"/>
        <w:jc w:val="center"/>
        <w:rPr>
          <w:sz w:val="24"/>
          <w:szCs w:val="24"/>
        </w:rPr>
      </w:pPr>
      <w:r>
        <w:rPr>
          <w:sz w:val="24"/>
          <w:szCs w:val="24"/>
        </w:rPr>
        <w:t>Upon completing an A.A./ A.S. degree and/or transfer preparation, students will show evidence of ability in the following core competency areas:</w:t>
      </w:r>
    </w:p>
    <w:p w:rsidR="00863B8B" w:rsidRDefault="00863B8B">
      <w:pPr>
        <w:spacing w:before="5"/>
        <w:rPr>
          <w:sz w:val="24"/>
          <w:szCs w:val="24"/>
        </w:rPr>
      </w:pPr>
    </w:p>
    <w:tbl>
      <w:tblPr>
        <w:tblStyle w:val="a5"/>
        <w:tblW w:w="1347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70"/>
      </w:tblGrid>
      <w:tr w:rsidR="00863B8B">
        <w:trPr>
          <w:trHeight w:val="1155"/>
        </w:trPr>
        <w:tc>
          <w:tcPr>
            <w:tcW w:w="13470" w:type="dxa"/>
          </w:tcPr>
          <w:p w:rsidR="00863B8B" w:rsidRDefault="00B61F1D">
            <w:pPr>
              <w:spacing w:before="5"/>
              <w:jc w:val="center"/>
              <w:rPr>
                <w:sz w:val="24"/>
                <w:szCs w:val="24"/>
                <w:shd w:val="clear" w:color="auto" w:fill="FFD966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584200" cy="590550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COMMUNITY ENGAGEMENT ISLO</w:t>
            </w:r>
          </w:p>
          <w:p w:rsidR="00863B8B" w:rsidRDefault="00863B8B">
            <w:pPr>
              <w:spacing w:before="5"/>
              <w:rPr>
                <w:sz w:val="24"/>
                <w:szCs w:val="24"/>
              </w:rPr>
            </w:pPr>
          </w:p>
        </w:tc>
      </w:tr>
      <w:tr w:rsidR="00863B8B">
        <w:tc>
          <w:tcPr>
            <w:tcW w:w="13470" w:type="dxa"/>
          </w:tcPr>
          <w:p w:rsidR="00863B8B" w:rsidRDefault="00B61F1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CE1 - EXPLORING SOCIAL PERSPECTIVES:</w:t>
            </w:r>
            <w:r>
              <w:rPr>
                <w:sz w:val="24"/>
                <w:szCs w:val="24"/>
              </w:rPr>
              <w:t xml:space="preserve"> Demonstrate self-awareness</w:t>
            </w:r>
            <w:r>
              <w:rPr>
                <w:color w:val="FF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sensitivity</w:t>
            </w:r>
            <w:r>
              <w:rPr>
                <w:color w:val="99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about and/or appreciation for how perspectives are shaped by experiences, cultural values, and ethical practices.</w:t>
            </w:r>
          </w:p>
        </w:tc>
      </w:tr>
      <w:tr w:rsidR="00863B8B">
        <w:tc>
          <w:tcPr>
            <w:tcW w:w="13470" w:type="dxa"/>
          </w:tcPr>
          <w:p w:rsidR="00863B8B" w:rsidRDefault="00B61F1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CE2 - DEVELOPING AN UNDERSTANDING OF POWER DYNAMICS:</w:t>
            </w:r>
            <w:r>
              <w:rPr>
                <w:sz w:val="24"/>
                <w:szCs w:val="24"/>
              </w:rPr>
              <w:t xml:space="preserve"> Develop a nuanced understanding of power dynamics and their impact.</w:t>
            </w:r>
          </w:p>
        </w:tc>
      </w:tr>
      <w:tr w:rsidR="00863B8B">
        <w:tc>
          <w:tcPr>
            <w:tcW w:w="13470" w:type="dxa"/>
          </w:tcPr>
          <w:p w:rsidR="00863B8B" w:rsidRDefault="00B61F1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CE3- UNDERSTANDING LOCAL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 GLOBAL RELATIONSHIPS:</w:t>
            </w:r>
            <w:r>
              <w:rPr>
                <w:sz w:val="24"/>
                <w:szCs w:val="24"/>
              </w:rPr>
              <w:t xml:space="preserve"> Demonstrate an understanding of how </w:t>
            </w:r>
            <w:r>
              <w:rPr>
                <w:rFonts w:ascii="Roboto" w:eastAsia="Roboto" w:hAnsi="Roboto" w:cs="Roboto"/>
                <w:color w:val="111111"/>
                <w:sz w:val="24"/>
                <w:szCs w:val="24"/>
              </w:rPr>
              <w:t>local and global issues and events</w:t>
            </w:r>
            <w:r>
              <w:rPr>
                <w:sz w:val="24"/>
                <w:szCs w:val="24"/>
              </w:rPr>
              <w:t xml:space="preserve"> are connected.</w:t>
            </w:r>
          </w:p>
        </w:tc>
      </w:tr>
      <w:tr w:rsidR="00863B8B">
        <w:tc>
          <w:tcPr>
            <w:tcW w:w="13470" w:type="dxa"/>
          </w:tcPr>
          <w:p w:rsidR="00863B8B" w:rsidRDefault="00B61F1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CE4- DEVELOPING AGENCY:</w:t>
            </w:r>
            <w:r>
              <w:rPr>
                <w:sz w:val="24"/>
                <w:szCs w:val="24"/>
              </w:rPr>
              <w:t xml:space="preserve"> Develop agency by engaging with and contributing to the well-being of local, national and/or g</w:t>
            </w:r>
            <w:r>
              <w:rPr>
                <w:sz w:val="24"/>
                <w:szCs w:val="24"/>
              </w:rPr>
              <w:t>lobal communities.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63B8B">
        <w:tc>
          <w:tcPr>
            <w:tcW w:w="13470" w:type="dxa"/>
          </w:tcPr>
          <w:p w:rsidR="00863B8B" w:rsidRDefault="00B61F1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CE5- ETHICAL PRACTICES: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Develop ethical practices when engaging in personal, professional and/or larger social contexts. </w:t>
            </w:r>
          </w:p>
        </w:tc>
      </w:tr>
      <w:tr w:rsidR="00863B8B">
        <w:tc>
          <w:tcPr>
            <w:tcW w:w="13470" w:type="dxa"/>
          </w:tcPr>
          <w:p w:rsidR="00863B8B" w:rsidRDefault="00B61F1D">
            <w:pPr>
              <w:spacing w:before="5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CE6- FACILITATING CONSTRUCTIVE GROUP ENVIRONMENTS</w:t>
            </w:r>
            <w:r>
              <w:rPr>
                <w:sz w:val="24"/>
                <w:szCs w:val="24"/>
              </w:rPr>
              <w:t>: Facilitate a constructive, supportive group environment thro</w:t>
            </w:r>
            <w:r>
              <w:rPr>
                <w:sz w:val="24"/>
                <w:szCs w:val="24"/>
              </w:rPr>
              <w:t>ugh demonstrated collegiality, collaborative skills, and/or leadership.</w:t>
            </w:r>
          </w:p>
        </w:tc>
      </w:tr>
    </w:tbl>
    <w:p w:rsidR="00863B8B" w:rsidRDefault="00863B8B">
      <w:pPr>
        <w:spacing w:before="5"/>
        <w:rPr>
          <w:sz w:val="24"/>
          <w:szCs w:val="24"/>
        </w:rPr>
      </w:pPr>
    </w:p>
    <w:tbl>
      <w:tblPr>
        <w:tblStyle w:val="a6"/>
        <w:tblW w:w="133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80"/>
      </w:tblGrid>
      <w:tr w:rsidR="00863B8B">
        <w:trPr>
          <w:trHeight w:val="981"/>
        </w:trPr>
        <w:tc>
          <w:tcPr>
            <w:tcW w:w="13380" w:type="dxa"/>
          </w:tcPr>
          <w:p w:rsidR="00863B8B" w:rsidRDefault="00B61F1D">
            <w:pPr>
              <w:spacing w:before="5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15950" cy="508000"/>
                  <wp:effectExtent l="0" t="0" r="0" b="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CRITICAL AND CREATIVE THINKING ISLO</w:t>
            </w:r>
          </w:p>
          <w:p w:rsidR="00863B8B" w:rsidRDefault="00863B8B">
            <w:pPr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CCT 1- EXPLORING CONTEXT: </w:t>
            </w:r>
            <w:r>
              <w:rPr>
                <w:sz w:val="24"/>
                <w:szCs w:val="24"/>
              </w:rPr>
              <w:t xml:space="preserve">identify and evaluate relevant ideas, perspectives, concepts, images, forms, sounds, and/or movements to respond to an intellectual or creative task/dilemma. </w:t>
            </w:r>
          </w:p>
        </w:tc>
      </w:tr>
      <w:tr w:rsidR="00863B8B">
        <w:trPr>
          <w:trHeight w:val="714"/>
        </w:trPr>
        <w:tc>
          <w:tcPr>
            <w:tcW w:w="13380" w:type="dxa"/>
          </w:tcPr>
          <w:p w:rsidR="00863B8B" w:rsidRDefault="00B61F1D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CCT 2- DEVELOPING APPROACH:</w:t>
            </w:r>
            <w:r>
              <w:rPr>
                <w:sz w:val="24"/>
                <w:szCs w:val="24"/>
              </w:rPr>
              <w:t xml:space="preserve"> develop a model, approach or strategy to respond to an intellectual </w:t>
            </w:r>
            <w:r>
              <w:rPr>
                <w:sz w:val="24"/>
                <w:szCs w:val="24"/>
              </w:rPr>
              <w:t xml:space="preserve">or creative task/dilemma. </w:t>
            </w: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CCT 3- ADDRESSING INTELLECTUAL/CREATIVE CHALLENGE</w:t>
            </w:r>
            <w:r>
              <w:rPr>
                <w:sz w:val="24"/>
                <w:szCs w:val="24"/>
              </w:rPr>
              <w:t xml:space="preserve">: creatively transform ideas, perspectives, concepts, images, forms, sounds, and/or movements to respond to an intellectual or creative task/dilemma. </w:t>
            </w: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CCT 4- THINKING INNOVATIVELY</w:t>
            </w:r>
            <w:r>
              <w:rPr>
                <w:sz w:val="24"/>
                <w:szCs w:val="24"/>
              </w:rPr>
              <w:t xml:space="preserve">: interpret, synthesize, and/or transform ideas, perspectives, concepts, images, forms, sounds, and/or movements in a novel way. </w:t>
            </w: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CCT 5- SUPPORTING CLAIMS: </w:t>
            </w:r>
            <w:r>
              <w:rPr>
                <w:sz w:val="24"/>
                <w:szCs w:val="24"/>
              </w:rPr>
              <w:t>support claims/conclusions with relevant and credible evidence</w:t>
            </w:r>
            <w:r>
              <w:rPr>
                <w:color w:val="FF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and/or l</w:t>
            </w:r>
            <w:r>
              <w:rPr>
                <w:sz w:val="24"/>
                <w:szCs w:val="24"/>
              </w:rPr>
              <w:t>ogical analysis.</w:t>
            </w: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CCT 6- RESPONDING TO BIAS</w:t>
            </w:r>
            <w:r>
              <w:rPr>
                <w:sz w:val="24"/>
                <w:szCs w:val="24"/>
              </w:rPr>
              <w:t xml:space="preserve">: identify and address our own biases and those of others. </w:t>
            </w:r>
          </w:p>
        </w:tc>
      </w:tr>
    </w:tbl>
    <w:p w:rsidR="00863B8B" w:rsidRDefault="00863B8B">
      <w:pPr>
        <w:spacing w:before="5" w:line="276" w:lineRule="auto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tbl>
      <w:tblPr>
        <w:tblStyle w:val="a7"/>
        <w:tblW w:w="1339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95"/>
      </w:tblGrid>
      <w:tr w:rsidR="00863B8B">
        <w:tc>
          <w:tcPr>
            <w:tcW w:w="13395" w:type="dxa"/>
          </w:tcPr>
          <w:p w:rsidR="00863B8B" w:rsidRDefault="00B61F1D">
            <w:pPr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03250" cy="501650"/>
                  <wp:effectExtent l="0" t="0" r="0" b="0"/>
                  <wp:docPr id="2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501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EFFECTIVE COMMUNICATION ISLO</w:t>
            </w:r>
          </w:p>
          <w:p w:rsidR="00863B8B" w:rsidRDefault="00863B8B">
            <w:pPr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863B8B">
        <w:tc>
          <w:tcPr>
            <w:tcW w:w="13395" w:type="dxa"/>
          </w:tcPr>
          <w:p w:rsidR="00863B8B" w:rsidRDefault="00B61F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 1- COMPREHENDING AND ANALYZING</w:t>
            </w:r>
            <w:r>
              <w:rPr>
                <w:sz w:val="24"/>
                <w:szCs w:val="24"/>
              </w:rPr>
              <w:t>: comprehend and analyze verbal and nonverbal media.</w:t>
            </w:r>
          </w:p>
        </w:tc>
      </w:tr>
      <w:tr w:rsidR="00863B8B">
        <w:tc>
          <w:tcPr>
            <w:tcW w:w="13395" w:type="dxa"/>
          </w:tcPr>
          <w:p w:rsidR="00863B8B" w:rsidRDefault="00B61F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 2- DELIVERING MESSAGE</w:t>
            </w:r>
            <w:r>
              <w:rPr>
                <w:sz w:val="24"/>
                <w:szCs w:val="24"/>
              </w:rPr>
              <w:t xml:space="preserve">: effectively construct and deliver messages to express ideas and establish shared meaning. </w:t>
            </w:r>
          </w:p>
        </w:tc>
      </w:tr>
      <w:tr w:rsidR="00863B8B">
        <w:tc>
          <w:tcPr>
            <w:tcW w:w="13395" w:type="dxa"/>
          </w:tcPr>
          <w:p w:rsidR="00863B8B" w:rsidRDefault="00B61F1D">
            <w:pPr>
              <w:spacing w:before="5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 3- DEVELOPING A CIVIL DISCOURSE COMMUNICATION FRAMEWORK</w:t>
            </w:r>
            <w:r>
              <w:rPr>
                <w:sz w:val="24"/>
                <w:szCs w:val="24"/>
              </w:rPr>
              <w:t>: develop a non-hierarchical communication framework that establishes shared meaning through a sensitivi</w:t>
            </w:r>
            <w:r>
              <w:rPr>
                <w:sz w:val="24"/>
                <w:szCs w:val="24"/>
              </w:rPr>
              <w:t>ty and receptivity to intersectional, cultural diversity.</w:t>
            </w:r>
          </w:p>
        </w:tc>
      </w:tr>
    </w:tbl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tbl>
      <w:tblPr>
        <w:tblStyle w:val="a8"/>
        <w:tblW w:w="1330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05"/>
      </w:tblGrid>
      <w:tr w:rsidR="00863B8B">
        <w:tc>
          <w:tcPr>
            <w:tcW w:w="13305" w:type="dxa"/>
          </w:tcPr>
          <w:p w:rsidR="00863B8B" w:rsidRDefault="00B61F1D">
            <w:pPr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03250" cy="546100"/>
                  <wp:effectExtent l="0" t="0" r="0" b="0"/>
                  <wp:docPr id="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INFORMATION LITERACY ISLO</w:t>
            </w:r>
          </w:p>
          <w:p w:rsidR="00863B8B" w:rsidRDefault="00863B8B">
            <w:pPr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863B8B">
        <w:trPr>
          <w:trHeight w:val="855"/>
        </w:trPr>
        <w:tc>
          <w:tcPr>
            <w:tcW w:w="13305" w:type="dxa"/>
          </w:tcPr>
          <w:p w:rsidR="00863B8B" w:rsidRDefault="00B61F1D">
            <w:pPr>
              <w:spacing w:after="20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IL1- APPLYING RESEARCH STRATEGIES:</w:t>
            </w:r>
            <w:r>
              <w:rPr>
                <w:sz w:val="24"/>
                <w:szCs w:val="24"/>
              </w:rPr>
              <w:t xml:space="preserve"> apply effective research strategies, including formulating and defining the scope of the research question, determining key concepts, and identifying relevant sources.</w:t>
            </w:r>
          </w:p>
        </w:tc>
      </w:tr>
      <w:tr w:rsidR="00863B8B">
        <w:tc>
          <w:tcPr>
            <w:tcW w:w="13305" w:type="dxa"/>
          </w:tcPr>
          <w:p w:rsidR="00863B8B" w:rsidRDefault="00B61F1D">
            <w:pPr>
              <w:spacing w:after="20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IL2- MAKING INFORMED CHOICES:</w:t>
            </w:r>
            <w:r>
              <w:rPr>
                <w:sz w:val="24"/>
                <w:szCs w:val="24"/>
              </w:rPr>
              <w:t xml:space="preserve"> make informed choices about credible and relevant inform</w:t>
            </w:r>
            <w:r>
              <w:rPr>
                <w:sz w:val="24"/>
                <w:szCs w:val="24"/>
              </w:rPr>
              <w:t>ation types and/or sources (journal, newspaper, magazine, interviews, media, etc.).</w:t>
            </w:r>
          </w:p>
        </w:tc>
      </w:tr>
      <w:tr w:rsidR="00863B8B">
        <w:tc>
          <w:tcPr>
            <w:tcW w:w="13305" w:type="dxa"/>
          </w:tcPr>
          <w:p w:rsidR="00863B8B" w:rsidRDefault="00B61F1D">
            <w:pPr>
              <w:spacing w:after="20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IL3- EVALUATING SOURCES:</w:t>
            </w:r>
            <w:r>
              <w:rPr>
                <w:sz w:val="24"/>
                <w:szCs w:val="24"/>
              </w:rPr>
              <w:t xml:space="preserve"> critically evaluate content for credibility, accuracy, and relevance.</w:t>
            </w:r>
          </w:p>
        </w:tc>
      </w:tr>
      <w:tr w:rsidR="00863B8B">
        <w:tc>
          <w:tcPr>
            <w:tcW w:w="13305" w:type="dxa"/>
          </w:tcPr>
          <w:p w:rsidR="00863B8B" w:rsidRDefault="00B61F1D">
            <w:pPr>
              <w:spacing w:after="20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IL4- ENGAGING DIVERSE VIEWS:</w:t>
            </w:r>
            <w:r>
              <w:rPr>
                <w:sz w:val="24"/>
                <w:szCs w:val="24"/>
              </w:rPr>
              <w:t xml:space="preserve"> proactively engage with diverse ideas, margina</w:t>
            </w:r>
            <w:r>
              <w:rPr>
                <w:sz w:val="24"/>
                <w:szCs w:val="24"/>
              </w:rPr>
              <w:t xml:space="preserve">lized voices and/or world views while recognizing that information sources can be influenced by authority that is reinforced by existing power structures.  </w:t>
            </w:r>
          </w:p>
        </w:tc>
      </w:tr>
      <w:tr w:rsidR="00863B8B">
        <w:tc>
          <w:tcPr>
            <w:tcW w:w="13305" w:type="dxa"/>
          </w:tcPr>
          <w:p w:rsidR="00863B8B" w:rsidRDefault="00B61F1D">
            <w:pPr>
              <w:spacing w:after="20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IL5- DEMONSTRATING ETHICAL AND LEGAL USE:</w:t>
            </w:r>
            <w:r>
              <w:rPr>
                <w:sz w:val="24"/>
                <w:szCs w:val="24"/>
              </w:rPr>
              <w:t xml:space="preserve"> use verbal and/or nonverbal media ethically and legally </w:t>
            </w:r>
            <w:r>
              <w:rPr>
                <w:sz w:val="24"/>
                <w:szCs w:val="24"/>
              </w:rPr>
              <w:t>by appropriately citing and following copyright guidelines.</w:t>
            </w:r>
          </w:p>
        </w:tc>
      </w:tr>
      <w:tr w:rsidR="00863B8B">
        <w:tc>
          <w:tcPr>
            <w:tcW w:w="13305" w:type="dxa"/>
          </w:tcPr>
          <w:p w:rsidR="00863B8B" w:rsidRDefault="00B61F1D">
            <w:pPr>
              <w:spacing w:after="20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IL6- DEVELOPING A SCHOLARLY IDENTITY:</w:t>
            </w:r>
            <w:r>
              <w:rPr>
                <w:sz w:val="24"/>
                <w:szCs w:val="24"/>
              </w:rPr>
              <w:t xml:space="preserve"> develop and demonstrate scholarly identity by generating meaning rather than merely consuming and restating information.</w:t>
            </w:r>
          </w:p>
        </w:tc>
      </w:tr>
    </w:tbl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p w:rsidR="00863B8B" w:rsidRDefault="00863B8B">
      <w:pPr>
        <w:spacing w:before="5"/>
        <w:rPr>
          <w:sz w:val="24"/>
          <w:szCs w:val="24"/>
        </w:rPr>
      </w:pPr>
    </w:p>
    <w:tbl>
      <w:tblPr>
        <w:tblStyle w:val="a9"/>
        <w:tblW w:w="133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80"/>
      </w:tblGrid>
      <w:tr w:rsidR="00863B8B">
        <w:tc>
          <w:tcPr>
            <w:tcW w:w="13380" w:type="dxa"/>
          </w:tcPr>
          <w:p w:rsidR="00863B8B" w:rsidRDefault="00B61F1D">
            <w:pPr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590550" cy="571500"/>
                  <wp:effectExtent l="0" t="0" r="0" b="0"/>
                  <wp:docPr id="2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LIFELONG WELLNESS</w:t>
            </w:r>
          </w:p>
          <w:p w:rsidR="00863B8B" w:rsidRDefault="00863B8B">
            <w:pPr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LW1- UNDERSTANDING PHYSICAL, MENTAL, AND/OR EMOTIONAL HEALTH</w:t>
            </w:r>
            <w:r>
              <w:rPr>
                <w:sz w:val="24"/>
                <w:szCs w:val="24"/>
              </w:rPr>
              <w:t xml:space="preserve">: demonstrate an understanding of how physical, mental and/or emotional health relate to lifelong wellness. </w:t>
            </w: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LW2- VALUING CREATIVE EXPRESSION</w:t>
            </w:r>
            <w:r>
              <w:rPr>
                <w:sz w:val="24"/>
                <w:szCs w:val="24"/>
              </w:rPr>
              <w:t>: demonstrate an understanding of how creative expression and artistic practice relate to self-discovery, personal development, self-advocacy, and emotional well-being.</w:t>
            </w: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LW3- EXHIBITING PERSONAL RESPONSIBILITY</w:t>
            </w:r>
            <w:r>
              <w:rPr>
                <w:sz w:val="24"/>
                <w:szCs w:val="24"/>
              </w:rPr>
              <w:t>: exhibit personal responsibility for identifyi</w:t>
            </w:r>
            <w:r>
              <w:rPr>
                <w:sz w:val="24"/>
                <w:szCs w:val="24"/>
              </w:rPr>
              <w:t>ng needs, determining resources, and accessing appropriate services to improve physical, mental and emotional health, and by extension, academic performance.</w:t>
            </w:r>
          </w:p>
        </w:tc>
      </w:tr>
      <w:tr w:rsidR="00863B8B">
        <w:tc>
          <w:tcPr>
            <w:tcW w:w="13380" w:type="dxa"/>
          </w:tcPr>
          <w:p w:rsidR="00863B8B" w:rsidRDefault="00B61F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LW4 -EMPLOYING A GROWTH MINDSET</w:t>
            </w:r>
            <w:r>
              <w:rPr>
                <w:sz w:val="24"/>
                <w:szCs w:val="24"/>
              </w:rPr>
              <w:t>: employ the growth mindset by embracing effort and acknowledging setbacks as a step toward proficiency, seeking out support, and negotiating challenges to gain experience and confidence.</w:t>
            </w:r>
          </w:p>
        </w:tc>
      </w:tr>
      <w:tr w:rsidR="00863B8B">
        <w:trPr>
          <w:trHeight w:val="615"/>
        </w:trPr>
        <w:tc>
          <w:tcPr>
            <w:tcW w:w="13380" w:type="dxa"/>
          </w:tcPr>
          <w:p w:rsidR="00863B8B" w:rsidRDefault="00B61F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LW5- PRACTICING INTELLECTUAL HABITS OF MIND</w:t>
            </w:r>
            <w:r>
              <w:rPr>
                <w:sz w:val="24"/>
                <w:szCs w:val="24"/>
              </w:rPr>
              <w:t xml:space="preserve">: practice intellectual </w:t>
            </w:r>
            <w:r>
              <w:rPr>
                <w:sz w:val="24"/>
                <w:szCs w:val="24"/>
              </w:rPr>
              <w:t xml:space="preserve">habits of mind such as initiative, flexibility, intellectual curiosity, and an openness to diverse perspectives. </w:t>
            </w:r>
          </w:p>
        </w:tc>
      </w:tr>
    </w:tbl>
    <w:p w:rsidR="00863B8B" w:rsidRDefault="00863B8B">
      <w:pPr>
        <w:spacing w:before="4"/>
        <w:rPr>
          <w:rFonts w:ascii="Noto Sans Symbols" w:eastAsia="Noto Sans Symbols" w:hAnsi="Noto Sans Symbols" w:cs="Noto Sans Symbols"/>
          <w:color w:val="00B050"/>
          <w:sz w:val="24"/>
          <w:szCs w:val="24"/>
        </w:rPr>
      </w:pPr>
    </w:p>
    <w:sectPr w:rsidR="00863B8B">
      <w:headerReference w:type="default" r:id="rId16"/>
      <w:footerReference w:type="default" r:id="rId17"/>
      <w:pgSz w:w="15840" w:h="12240" w:orient="landscape"/>
      <w:pgMar w:top="1540" w:right="860" w:bottom="280" w:left="10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61F1D">
      <w:r>
        <w:separator/>
      </w:r>
    </w:p>
  </w:endnote>
  <w:endnote w:type="continuationSeparator" w:id="0">
    <w:p w:rsidR="00000000" w:rsidRDefault="00B6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B8B" w:rsidRDefault="00B61F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863B8B" w:rsidRDefault="00863B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61F1D">
      <w:r>
        <w:separator/>
      </w:r>
    </w:p>
  </w:footnote>
  <w:footnote w:type="continuationSeparator" w:id="0">
    <w:p w:rsidR="00000000" w:rsidRDefault="00B61F1D">
      <w:r>
        <w:continuationSeparator/>
      </w:r>
    </w:p>
  </w:footnote>
  <w:footnote w:id="1">
    <w:p w:rsidR="00863B8B" w:rsidRDefault="00B61F1D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*</w:t>
      </w:r>
      <w:r>
        <w:rPr>
          <w:sz w:val="24"/>
          <w:szCs w:val="24"/>
        </w:rPr>
        <w:t>Revised in 2021- 2023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B8B" w:rsidRDefault="00B61F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373915" cy="484192"/>
          <wp:effectExtent l="0" t="0" r="0" b="0"/>
          <wp:docPr id="30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3915" cy="484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63B8B" w:rsidRDefault="00863B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5E45"/>
    <w:multiLevelType w:val="multilevel"/>
    <w:tmpl w:val="83CC91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8B"/>
    <w:rsid w:val="00863B8B"/>
    <w:rsid w:val="00B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98E6CF-BFFB-4D1A-8847-C1DFCBD7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24"/>
      <w:ind w:left="2755" w:right="2335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4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7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4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732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04732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75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5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skylinecollege.edu/current/programs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skylinecollege.edu/sloac/isloassessments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kylinecollege.edu/sloac/assets/platform/CourseSLOsAssessmentsResults_UserGuide.pdf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Xq2HV01QE5DHYGbHEEPKOjw19g==">CgMxLjAaHwoBMBIaChgICVIUChJ0YWJsZS5vYzh0NzY1Yzh5dWIyCGguZ2pkZ3hzMgloLjMwajB6bGw4AHIhMTJsSVd4WVlfX1pzdWx2emZFRl9SM1NLdVBoR0szSjJW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Karen E.</dc:creator>
  <cp:lastModifiedBy>Wong, Karen E.</cp:lastModifiedBy>
  <cp:revision>2</cp:revision>
  <dcterms:created xsi:type="dcterms:W3CDTF">2025-01-14T19:28:00Z</dcterms:created>
  <dcterms:modified xsi:type="dcterms:W3CDTF">2025-01-14T19:28:00Z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2016-09-16T00:00:00Z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2023-12-01T00:00:00Z</vt:lpwstr>
  </property>
  <property fmtid="{D5CDD505-2E9C-101B-9397-08002B2CF9AE}" pid="5" name="Producer">
    <vt:lpwstr>Microsoft® Word 2016</vt:lpwstr>
  </property>
</Properties>
</file>